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bookmarkStart w:id="0" w:name="_Toc16263"/>
      <w:r>
        <w:rPr>
          <w:rFonts w:hint="eastAsia"/>
        </w:rPr>
        <w:t>《交易指令单</w:t>
      </w:r>
      <w:r>
        <w:rPr>
          <w:rFonts w:hint="eastAsia"/>
          <w:lang w:val="en-US" w:eastAsia="zh-Hans"/>
        </w:rPr>
        <w:t>模版</w:t>
      </w:r>
      <w:r>
        <w:rPr>
          <w:rFonts w:hint="eastAsia"/>
        </w:rPr>
        <w:t>》</w:t>
      </w:r>
      <w:bookmarkEnd w:id="0"/>
    </w:p>
    <w:p>
      <w:pPr>
        <w:spacing w:line="240" w:lineRule="auto"/>
        <w:jc w:val="center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交易指令单</w:t>
      </w:r>
    </w:p>
    <w:p>
      <w:pPr>
        <w:spacing w:line="240" w:lineRule="auto"/>
        <w:jc w:val="center"/>
        <w:rPr>
          <w:rFonts w:hint="default" w:cs="Times New Roman" w:asciiTheme="minorEastAsia" w:hAnsiTheme="minorEastAsia"/>
          <w:b/>
          <w:bCs/>
          <w:sz w:val="28"/>
          <w:szCs w:val="28"/>
          <w:lang w:val="en-US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 xml:space="preserve"> 档案号：</w:t>
      </w:r>
      <w:r>
        <w:rPr>
          <w:rFonts w:hint="eastAsia" w:cs="Times New Roman" w:asciiTheme="minorEastAsia" w:hAnsiTheme="minorEastAsia"/>
          <w:kern w:val="0"/>
          <w:sz w:val="24"/>
          <w:szCs w:val="24"/>
          <w:lang w:val="en-US" w:eastAsia="zh-CN"/>
        </w:rPr>
        <w:t>xxxx</w:t>
      </w:r>
      <w:r>
        <w:rPr>
          <w:rFonts w:hint="eastAsia" w:cs="Times New Roman" w:asciiTheme="minorEastAsia" w:hAnsiTheme="minorEastAsia"/>
          <w:kern w:val="0"/>
          <w:sz w:val="24"/>
          <w:szCs w:val="24"/>
          <w:lang w:val="en-US" w:eastAsia="zh-Hans"/>
        </w:rPr>
        <w:t>xxx</w:t>
      </w:r>
    </w:p>
    <w:tbl>
      <w:tblPr>
        <w:tblStyle w:val="7"/>
        <w:tblW w:w="8772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44"/>
        <w:gridCol w:w="1764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产品账户名称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Times New Roman" w:cs="Times New Roman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default" w:eastAsia="Times New Roman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Hans"/>
              </w:rPr>
              <w:t>xxx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一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 xml:space="preserve">号 </w:t>
            </w:r>
            <w:r>
              <w:rPr>
                <w:rFonts w:hint="eastAsia" w:eastAsia="Times New Roman" w:cs="Times New Roman" w:asciiTheme="minorEastAsia" w:hAnsi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eastAsia="Times New Roman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Hans"/>
              </w:rPr>
              <w:t>xxx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一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号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Times New Roman" w:cs="Times New Roman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自营  </w:t>
            </w:r>
            <w:r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Times New Roman" w:cs="Times New Roman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其他（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u w:val="thick"/>
              </w:rPr>
              <w:t xml:space="preserve">账户名：            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基金经理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Times New Roman" w:cs="Times New Roman" w:asciiTheme="minorEastAsia" w:hAnsi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eastAsia="Times New Roman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Hans"/>
              </w:rPr>
              <w:t>xxxx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指令下达时间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交易品种名称/代码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交易方向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交易价格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/成交价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48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1" w:name="OLE_LINK1" w:colFirst="0" w:colLast="3"/>
          </w:p>
        </w:tc>
        <w:tc>
          <w:tcPr>
            <w:tcW w:w="164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6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bookmarkEnd w:id="1"/>
    </w:tbl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交易思路：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  <w:jc w:val="center"/>
        </w:trPr>
        <w:tc>
          <w:tcPr>
            <w:tcW w:w="8522" w:type="dxa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今天交易计划：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宋体" w:hAnsi="宋体" w:eastAsia="宋体" w:cs="宋体"/>
          <w:b/>
          <w:sz w:val="24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b/>
          <w:sz w:val="24"/>
          <w:szCs w:val="28"/>
        </w:rPr>
      </w:pPr>
    </w:p>
    <w:p>
      <w:pPr>
        <w:spacing w:line="240" w:lineRule="auto"/>
        <w:rPr>
          <w:rFonts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交易指令合规性确认（由执行该交易指令的交易员填写）：</w:t>
      </w:r>
    </w:p>
    <w:p>
      <w:pPr>
        <w:spacing w:line="240" w:lineRule="auto"/>
        <w:rPr>
          <w:rFonts w:ascii="宋体" w:hAnsi="宋体" w:eastAsia="宋体" w:cs="宋体"/>
          <w:b/>
          <w:sz w:val="24"/>
          <w:szCs w:val="28"/>
        </w:rPr>
      </w:pPr>
    </w:p>
    <w:tbl>
      <w:tblPr>
        <w:tblStyle w:val="7"/>
        <w:tblW w:w="8738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360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确认项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是（情况说明）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是否存在不同投资组合之间的同日反向交易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交易标的资产是否为法律法规、基金合同、公司内部规定禁止交易的标的资产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是否违背基金/信托合同中关于投资目标、范围、限制、禁止行为等相关规定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是否存在交叉持股的情形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 xml:space="preserve">是否存在不符合监管法律法规或公司其他相关风控要求的情况 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8"/>
              </w:rPr>
              <w:t>存在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其他违反公平交易制度、可能涉及利益冲突的情况</w:t>
            </w:r>
          </w:p>
        </w:tc>
        <w:tc>
          <w:tcPr>
            <w:tcW w:w="3608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□</w:t>
            </w:r>
          </w:p>
        </w:tc>
        <w:tc>
          <w:tcPr>
            <w:tcW w:w="570" w:type="dxa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sym w:font="Wingdings" w:char="00A8"/>
            </w:r>
          </w:p>
        </w:tc>
      </w:tr>
    </w:tbl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240" w:lineRule="auto"/>
        <w:rPr>
          <w:rFonts w:ascii="宋体" w:hAnsi="宋体" w:eastAsia="宋体" w:cs="宋体"/>
          <w:sz w:val="24"/>
          <w:szCs w:val="28"/>
          <w:u w:val="single"/>
        </w:rPr>
      </w:pPr>
      <w:r>
        <w:rPr>
          <w:rFonts w:hint="eastAsia" w:ascii="宋体" w:hAnsi="宋体" w:eastAsia="宋体" w:cs="宋体"/>
          <w:sz w:val="24"/>
          <w:szCs w:val="28"/>
        </w:rPr>
        <w:t>交易员签字确认：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8"/>
        </w:rPr>
        <w:t>时间：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              </w:t>
      </w:r>
    </w:p>
    <w:p>
      <w:pPr>
        <w:spacing w:line="240" w:lineRule="auto"/>
        <w:rPr>
          <w:rFonts w:ascii="宋体" w:hAnsi="宋体" w:eastAsia="宋体" w:cs="宋体"/>
          <w:b/>
          <w:sz w:val="24"/>
          <w:szCs w:val="28"/>
        </w:rPr>
      </w:pPr>
    </w:p>
    <w:p>
      <w:pPr>
        <w:spacing w:line="240" w:lineRule="auto"/>
        <w:rPr>
          <w:rFonts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交易指令完成情况确认（由执行该交易指令的交易员填写）：</w:t>
      </w:r>
    </w:p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240" w:lineRule="auto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1.交易完成时间：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  <w:lang w:val="en-US" w:eastAsia="zh-CN"/>
        </w:rPr>
        <w:t>xxxx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2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  <w:lang w:val="en-US" w:eastAsia="zh-Hans"/>
        </w:rPr>
        <w:t>xx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2"/>
          <w:szCs w:val="24"/>
          <w:u w:val="single"/>
          <w:lang w:val="en-US" w:eastAsia="zh-Hans"/>
        </w:rPr>
        <w:t>xx</w:t>
      </w:r>
      <w:r>
        <w:rPr>
          <w:rFonts w:hint="eastAsia" w:ascii="宋体" w:hAnsi="宋体" w:eastAsia="宋体" w:cs="宋体"/>
          <w:kern w:val="0"/>
          <w:sz w:val="22"/>
          <w:szCs w:val="24"/>
        </w:rPr>
        <w:t>日</w:t>
      </w:r>
    </w:p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2.是否在基金经理指定的交易时间段内完成交易：</w:t>
      </w:r>
    </w:p>
    <w:p>
      <w:pPr>
        <w:spacing w:line="24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是 </w:t>
      </w:r>
    </w:p>
    <w:p>
      <w:pPr>
        <w:spacing w:line="240" w:lineRule="auto"/>
        <w:rPr>
          <w:rFonts w:ascii="宋体" w:hAnsi="宋体" w:eastAsia="宋体" w:cs="宋体"/>
          <w:b/>
          <w:bCs/>
          <w:kern w:val="0"/>
          <w:sz w:val="22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□否（客观情况变化）</w:t>
      </w:r>
    </w:p>
    <w:p>
      <w:pPr>
        <w:spacing w:line="24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□否（交易失误）：该情况请另外说明</w:t>
      </w:r>
    </w:p>
    <w:p>
      <w:pPr>
        <w:spacing w:line="24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24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3.交易结果（附图）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  <w:jc w:val="center"/>
        </w:trPr>
        <w:tc>
          <w:tcPr>
            <w:tcW w:w="8522" w:type="dxa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240" w:lineRule="auto"/>
        <w:rPr>
          <w:rFonts w:ascii="宋体" w:hAnsi="宋体" w:eastAsia="宋体" w:cs="宋体"/>
          <w:b/>
          <w:bCs/>
          <w:kern w:val="0"/>
          <w:sz w:val="22"/>
          <w:szCs w:val="24"/>
        </w:rPr>
      </w:pPr>
    </w:p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情况说明（如有）：</w:t>
      </w:r>
    </w:p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24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交易员（签字）：</w:t>
      </w:r>
      <w:r>
        <w:rPr>
          <w:rFonts w:hint="eastAsia" w:ascii="宋体" w:hAnsi="宋体" w:eastAsia="宋体" w:cs="宋体"/>
          <w:b/>
          <w:bCs/>
          <w:sz w:val="24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8"/>
          <w:u w:val="single"/>
          <w:lang w:val="en-US" w:eastAsia="zh-Hans"/>
        </w:rPr>
        <w:t>xxx</w:t>
      </w:r>
      <w:r>
        <w:rPr>
          <w:rFonts w:hint="eastAsia" w:ascii="宋体" w:hAnsi="宋体" w:eastAsia="宋体" w:cs="宋体"/>
          <w:b/>
          <w:bCs/>
          <w:sz w:val="24"/>
          <w:szCs w:val="28"/>
          <w:u w:val="single"/>
        </w:rPr>
        <w:t xml:space="preserve">       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8"/>
          <w:u w:val="single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基金经理（签字）：</w:t>
      </w:r>
      <w:r>
        <w:rPr>
          <w:rFonts w:hint="eastAsia" w:ascii="宋体" w:hAnsi="宋体" w:eastAsia="宋体" w:cs="宋体"/>
          <w:b/>
          <w:bCs/>
          <w:sz w:val="24"/>
          <w:szCs w:val="28"/>
          <w:u w:val="single"/>
          <w:lang w:val="en-US" w:eastAsia="zh-Hans"/>
        </w:rPr>
        <w:t>xxx</w:t>
      </w:r>
      <w:r>
        <w:rPr>
          <w:rFonts w:hint="eastAsia" w:ascii="宋体" w:hAnsi="宋体" w:eastAsia="宋体" w:cs="宋体"/>
          <w:b/>
          <w:bCs/>
          <w:sz w:val="24"/>
          <w:szCs w:val="28"/>
          <w:u w:val="single"/>
        </w:rPr>
        <w:t xml:space="preserve">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mUzZDkzZGMxNmY5ODRiZDZlMmFjMmRkZWIwNzIifQ=="/>
  </w:docVars>
  <w:rsids>
    <w:rsidRoot w:val="02C87F76"/>
    <w:rsid w:val="00006467"/>
    <w:rsid w:val="000144FC"/>
    <w:rsid w:val="0001530E"/>
    <w:rsid w:val="00024EF5"/>
    <w:rsid w:val="00040A06"/>
    <w:rsid w:val="000432B3"/>
    <w:rsid w:val="0005215C"/>
    <w:rsid w:val="00064052"/>
    <w:rsid w:val="00073E8A"/>
    <w:rsid w:val="000756EC"/>
    <w:rsid w:val="000807A8"/>
    <w:rsid w:val="000919C3"/>
    <w:rsid w:val="000A389C"/>
    <w:rsid w:val="000A6317"/>
    <w:rsid w:val="000B125E"/>
    <w:rsid w:val="000B432A"/>
    <w:rsid w:val="000B4465"/>
    <w:rsid w:val="000C6961"/>
    <w:rsid w:val="000F1F21"/>
    <w:rsid w:val="000F2687"/>
    <w:rsid w:val="001005F0"/>
    <w:rsid w:val="00111A39"/>
    <w:rsid w:val="001135E6"/>
    <w:rsid w:val="00131D47"/>
    <w:rsid w:val="00140AF2"/>
    <w:rsid w:val="00153013"/>
    <w:rsid w:val="00161F2F"/>
    <w:rsid w:val="0016570B"/>
    <w:rsid w:val="00172B1C"/>
    <w:rsid w:val="00173711"/>
    <w:rsid w:val="00175B9A"/>
    <w:rsid w:val="00180614"/>
    <w:rsid w:val="00197D9B"/>
    <w:rsid w:val="001D6829"/>
    <w:rsid w:val="001E3869"/>
    <w:rsid w:val="001F631E"/>
    <w:rsid w:val="0020031A"/>
    <w:rsid w:val="00200900"/>
    <w:rsid w:val="00206F69"/>
    <w:rsid w:val="00213F46"/>
    <w:rsid w:val="002146E5"/>
    <w:rsid w:val="002178C7"/>
    <w:rsid w:val="00222512"/>
    <w:rsid w:val="00223745"/>
    <w:rsid w:val="00223C07"/>
    <w:rsid w:val="00224E55"/>
    <w:rsid w:val="00242170"/>
    <w:rsid w:val="00247895"/>
    <w:rsid w:val="00254409"/>
    <w:rsid w:val="00256359"/>
    <w:rsid w:val="002646E2"/>
    <w:rsid w:val="0026762F"/>
    <w:rsid w:val="00271A88"/>
    <w:rsid w:val="00283C1F"/>
    <w:rsid w:val="00286DFD"/>
    <w:rsid w:val="002A1684"/>
    <w:rsid w:val="002A3623"/>
    <w:rsid w:val="002A6071"/>
    <w:rsid w:val="002B25BD"/>
    <w:rsid w:val="002B5408"/>
    <w:rsid w:val="002C0FD0"/>
    <w:rsid w:val="002C28E3"/>
    <w:rsid w:val="002C2984"/>
    <w:rsid w:val="002D0E08"/>
    <w:rsid w:val="002D5454"/>
    <w:rsid w:val="002E1283"/>
    <w:rsid w:val="002E1394"/>
    <w:rsid w:val="002E6991"/>
    <w:rsid w:val="002F27C4"/>
    <w:rsid w:val="002F78C6"/>
    <w:rsid w:val="0031751B"/>
    <w:rsid w:val="00325E22"/>
    <w:rsid w:val="00327711"/>
    <w:rsid w:val="00330954"/>
    <w:rsid w:val="00337126"/>
    <w:rsid w:val="00343F5D"/>
    <w:rsid w:val="003525AA"/>
    <w:rsid w:val="00360748"/>
    <w:rsid w:val="003609F2"/>
    <w:rsid w:val="00363722"/>
    <w:rsid w:val="0037321B"/>
    <w:rsid w:val="00383834"/>
    <w:rsid w:val="003929A2"/>
    <w:rsid w:val="00394A35"/>
    <w:rsid w:val="003A7044"/>
    <w:rsid w:val="003A7102"/>
    <w:rsid w:val="003B1F35"/>
    <w:rsid w:val="003B658E"/>
    <w:rsid w:val="003B7323"/>
    <w:rsid w:val="003C7699"/>
    <w:rsid w:val="003D284E"/>
    <w:rsid w:val="003D3B62"/>
    <w:rsid w:val="003D4188"/>
    <w:rsid w:val="003D5656"/>
    <w:rsid w:val="004014BC"/>
    <w:rsid w:val="00401C4F"/>
    <w:rsid w:val="00404E85"/>
    <w:rsid w:val="00406786"/>
    <w:rsid w:val="00410A6E"/>
    <w:rsid w:val="0041627C"/>
    <w:rsid w:val="0041755F"/>
    <w:rsid w:val="0044336F"/>
    <w:rsid w:val="00454D72"/>
    <w:rsid w:val="004566F2"/>
    <w:rsid w:val="0047120A"/>
    <w:rsid w:val="00492A83"/>
    <w:rsid w:val="00492F40"/>
    <w:rsid w:val="00496A42"/>
    <w:rsid w:val="004A669A"/>
    <w:rsid w:val="004A74E1"/>
    <w:rsid w:val="004B1881"/>
    <w:rsid w:val="004B22CA"/>
    <w:rsid w:val="004C11D7"/>
    <w:rsid w:val="004E437F"/>
    <w:rsid w:val="004F00B6"/>
    <w:rsid w:val="005075B9"/>
    <w:rsid w:val="00520A08"/>
    <w:rsid w:val="00527131"/>
    <w:rsid w:val="005336DD"/>
    <w:rsid w:val="0055027F"/>
    <w:rsid w:val="005670D2"/>
    <w:rsid w:val="00571480"/>
    <w:rsid w:val="0057414C"/>
    <w:rsid w:val="005B3444"/>
    <w:rsid w:val="005B5332"/>
    <w:rsid w:val="005B771D"/>
    <w:rsid w:val="005D2572"/>
    <w:rsid w:val="005D423F"/>
    <w:rsid w:val="005D56FB"/>
    <w:rsid w:val="005F2615"/>
    <w:rsid w:val="005F4F37"/>
    <w:rsid w:val="00613A88"/>
    <w:rsid w:val="00626DBB"/>
    <w:rsid w:val="006304B1"/>
    <w:rsid w:val="00632253"/>
    <w:rsid w:val="00636EAB"/>
    <w:rsid w:val="00641662"/>
    <w:rsid w:val="00644B00"/>
    <w:rsid w:val="00652C91"/>
    <w:rsid w:val="0066036D"/>
    <w:rsid w:val="006613D3"/>
    <w:rsid w:val="00674300"/>
    <w:rsid w:val="00682BAE"/>
    <w:rsid w:val="00684E2E"/>
    <w:rsid w:val="00690940"/>
    <w:rsid w:val="00694906"/>
    <w:rsid w:val="006A3B9A"/>
    <w:rsid w:val="006B09DA"/>
    <w:rsid w:val="006B21FC"/>
    <w:rsid w:val="006B78FE"/>
    <w:rsid w:val="006D3D20"/>
    <w:rsid w:val="006D740C"/>
    <w:rsid w:val="006F0745"/>
    <w:rsid w:val="006F09B5"/>
    <w:rsid w:val="006F1B1A"/>
    <w:rsid w:val="00702CF3"/>
    <w:rsid w:val="007073F7"/>
    <w:rsid w:val="0072245B"/>
    <w:rsid w:val="00723788"/>
    <w:rsid w:val="00735DD9"/>
    <w:rsid w:val="00742B69"/>
    <w:rsid w:val="007444E6"/>
    <w:rsid w:val="007525CD"/>
    <w:rsid w:val="007531C1"/>
    <w:rsid w:val="007539BC"/>
    <w:rsid w:val="00761531"/>
    <w:rsid w:val="00764B04"/>
    <w:rsid w:val="00764BDB"/>
    <w:rsid w:val="00772DAA"/>
    <w:rsid w:val="0077508E"/>
    <w:rsid w:val="00780122"/>
    <w:rsid w:val="00786F75"/>
    <w:rsid w:val="007A3236"/>
    <w:rsid w:val="007C0351"/>
    <w:rsid w:val="007C0B1D"/>
    <w:rsid w:val="007D3BC3"/>
    <w:rsid w:val="007D3D20"/>
    <w:rsid w:val="007D7E86"/>
    <w:rsid w:val="007E0430"/>
    <w:rsid w:val="007F20E6"/>
    <w:rsid w:val="007F6AFC"/>
    <w:rsid w:val="00800BEB"/>
    <w:rsid w:val="008325F8"/>
    <w:rsid w:val="00834D06"/>
    <w:rsid w:val="00840CE2"/>
    <w:rsid w:val="00851C6E"/>
    <w:rsid w:val="00862488"/>
    <w:rsid w:val="008709B1"/>
    <w:rsid w:val="008719A6"/>
    <w:rsid w:val="00873611"/>
    <w:rsid w:val="00875558"/>
    <w:rsid w:val="00890463"/>
    <w:rsid w:val="00892411"/>
    <w:rsid w:val="00896BBA"/>
    <w:rsid w:val="008B5C3D"/>
    <w:rsid w:val="008E4E2A"/>
    <w:rsid w:val="008E79A3"/>
    <w:rsid w:val="008F56F6"/>
    <w:rsid w:val="008F5CD6"/>
    <w:rsid w:val="008F7A9E"/>
    <w:rsid w:val="00915BB2"/>
    <w:rsid w:val="009200EA"/>
    <w:rsid w:val="009223D1"/>
    <w:rsid w:val="0092287E"/>
    <w:rsid w:val="00933018"/>
    <w:rsid w:val="00952AB3"/>
    <w:rsid w:val="00953270"/>
    <w:rsid w:val="0095677E"/>
    <w:rsid w:val="00965922"/>
    <w:rsid w:val="00973A69"/>
    <w:rsid w:val="009775DA"/>
    <w:rsid w:val="00977DB9"/>
    <w:rsid w:val="0098402C"/>
    <w:rsid w:val="00990E4F"/>
    <w:rsid w:val="00993B62"/>
    <w:rsid w:val="009A2A0D"/>
    <w:rsid w:val="009A68DE"/>
    <w:rsid w:val="009B285E"/>
    <w:rsid w:val="009C31C8"/>
    <w:rsid w:val="009C4F7C"/>
    <w:rsid w:val="00A021E7"/>
    <w:rsid w:val="00A0385E"/>
    <w:rsid w:val="00A0625D"/>
    <w:rsid w:val="00A0656A"/>
    <w:rsid w:val="00A113A2"/>
    <w:rsid w:val="00A166AB"/>
    <w:rsid w:val="00A250BD"/>
    <w:rsid w:val="00A43EB1"/>
    <w:rsid w:val="00A51FBD"/>
    <w:rsid w:val="00A645E5"/>
    <w:rsid w:val="00A6760F"/>
    <w:rsid w:val="00AA134F"/>
    <w:rsid w:val="00AA2744"/>
    <w:rsid w:val="00AD7A32"/>
    <w:rsid w:val="00AE21CA"/>
    <w:rsid w:val="00AE4289"/>
    <w:rsid w:val="00B109C8"/>
    <w:rsid w:val="00B10A40"/>
    <w:rsid w:val="00B119A9"/>
    <w:rsid w:val="00B11FD4"/>
    <w:rsid w:val="00B14D02"/>
    <w:rsid w:val="00B2641F"/>
    <w:rsid w:val="00B32010"/>
    <w:rsid w:val="00B37B03"/>
    <w:rsid w:val="00B534CB"/>
    <w:rsid w:val="00B53977"/>
    <w:rsid w:val="00B57EDC"/>
    <w:rsid w:val="00B633F5"/>
    <w:rsid w:val="00B71DA2"/>
    <w:rsid w:val="00B73AEA"/>
    <w:rsid w:val="00B7465A"/>
    <w:rsid w:val="00B83C55"/>
    <w:rsid w:val="00B874D3"/>
    <w:rsid w:val="00B9070C"/>
    <w:rsid w:val="00B91E62"/>
    <w:rsid w:val="00BA021B"/>
    <w:rsid w:val="00BB143C"/>
    <w:rsid w:val="00BC0CA6"/>
    <w:rsid w:val="00BC684F"/>
    <w:rsid w:val="00BC76A7"/>
    <w:rsid w:val="00BD017D"/>
    <w:rsid w:val="00BD6C1E"/>
    <w:rsid w:val="00BE56D8"/>
    <w:rsid w:val="00BF6C43"/>
    <w:rsid w:val="00C17827"/>
    <w:rsid w:val="00C2461D"/>
    <w:rsid w:val="00C328EA"/>
    <w:rsid w:val="00C413F3"/>
    <w:rsid w:val="00C5368D"/>
    <w:rsid w:val="00C56C60"/>
    <w:rsid w:val="00C64661"/>
    <w:rsid w:val="00C668DC"/>
    <w:rsid w:val="00C71D02"/>
    <w:rsid w:val="00C84CEE"/>
    <w:rsid w:val="00C907F0"/>
    <w:rsid w:val="00C92AD3"/>
    <w:rsid w:val="00C97031"/>
    <w:rsid w:val="00CA5EE3"/>
    <w:rsid w:val="00CA6E05"/>
    <w:rsid w:val="00CB04B4"/>
    <w:rsid w:val="00CB1F00"/>
    <w:rsid w:val="00CB42FA"/>
    <w:rsid w:val="00CC575C"/>
    <w:rsid w:val="00CC7F3A"/>
    <w:rsid w:val="00CD2975"/>
    <w:rsid w:val="00CE0BE5"/>
    <w:rsid w:val="00CE398B"/>
    <w:rsid w:val="00CE5CAF"/>
    <w:rsid w:val="00CF08B6"/>
    <w:rsid w:val="00CF4813"/>
    <w:rsid w:val="00D01DF1"/>
    <w:rsid w:val="00D13ED1"/>
    <w:rsid w:val="00D163B8"/>
    <w:rsid w:val="00D214CC"/>
    <w:rsid w:val="00D31929"/>
    <w:rsid w:val="00D31EF9"/>
    <w:rsid w:val="00D34E77"/>
    <w:rsid w:val="00D36453"/>
    <w:rsid w:val="00D536BF"/>
    <w:rsid w:val="00D53B0E"/>
    <w:rsid w:val="00D61F3D"/>
    <w:rsid w:val="00D63E53"/>
    <w:rsid w:val="00D653E4"/>
    <w:rsid w:val="00D66ABB"/>
    <w:rsid w:val="00D80CDE"/>
    <w:rsid w:val="00D85103"/>
    <w:rsid w:val="00D9361B"/>
    <w:rsid w:val="00DA28C5"/>
    <w:rsid w:val="00DD7F79"/>
    <w:rsid w:val="00DE2D74"/>
    <w:rsid w:val="00DE53BC"/>
    <w:rsid w:val="00DE6942"/>
    <w:rsid w:val="00DF48B9"/>
    <w:rsid w:val="00DF7896"/>
    <w:rsid w:val="00E020D9"/>
    <w:rsid w:val="00E23B36"/>
    <w:rsid w:val="00E23F81"/>
    <w:rsid w:val="00E30339"/>
    <w:rsid w:val="00E325F8"/>
    <w:rsid w:val="00E44D2C"/>
    <w:rsid w:val="00E51EEF"/>
    <w:rsid w:val="00E53398"/>
    <w:rsid w:val="00E83D18"/>
    <w:rsid w:val="00E844F6"/>
    <w:rsid w:val="00E84DEA"/>
    <w:rsid w:val="00EA1F5A"/>
    <w:rsid w:val="00EA2685"/>
    <w:rsid w:val="00EA635C"/>
    <w:rsid w:val="00EC12B5"/>
    <w:rsid w:val="00EC3BB3"/>
    <w:rsid w:val="00EC3DC9"/>
    <w:rsid w:val="00EC6112"/>
    <w:rsid w:val="00ED4728"/>
    <w:rsid w:val="00EE03DC"/>
    <w:rsid w:val="00EE1519"/>
    <w:rsid w:val="00EE41EE"/>
    <w:rsid w:val="00EF7DD7"/>
    <w:rsid w:val="00F02168"/>
    <w:rsid w:val="00F13F10"/>
    <w:rsid w:val="00F17693"/>
    <w:rsid w:val="00F229B7"/>
    <w:rsid w:val="00F23D1E"/>
    <w:rsid w:val="00F246FF"/>
    <w:rsid w:val="00F25AA4"/>
    <w:rsid w:val="00F32B00"/>
    <w:rsid w:val="00F453C8"/>
    <w:rsid w:val="00F513E8"/>
    <w:rsid w:val="00F52C19"/>
    <w:rsid w:val="00F576EF"/>
    <w:rsid w:val="00F618A5"/>
    <w:rsid w:val="00F76F51"/>
    <w:rsid w:val="00F8166B"/>
    <w:rsid w:val="00F856DE"/>
    <w:rsid w:val="00F87C76"/>
    <w:rsid w:val="00FA1916"/>
    <w:rsid w:val="00FB1FC3"/>
    <w:rsid w:val="00FB3A22"/>
    <w:rsid w:val="00FB5A4B"/>
    <w:rsid w:val="00FC1D7F"/>
    <w:rsid w:val="00FD7CE3"/>
    <w:rsid w:val="00FE0DD4"/>
    <w:rsid w:val="00FE2E12"/>
    <w:rsid w:val="00FF046F"/>
    <w:rsid w:val="01023C92"/>
    <w:rsid w:val="01784E5A"/>
    <w:rsid w:val="023E11AB"/>
    <w:rsid w:val="02C87F76"/>
    <w:rsid w:val="02E034FE"/>
    <w:rsid w:val="036213BD"/>
    <w:rsid w:val="03A94F6A"/>
    <w:rsid w:val="044C2B69"/>
    <w:rsid w:val="04FE3B6E"/>
    <w:rsid w:val="054D54C0"/>
    <w:rsid w:val="0580500E"/>
    <w:rsid w:val="059A7F88"/>
    <w:rsid w:val="05CD3442"/>
    <w:rsid w:val="05F40F4C"/>
    <w:rsid w:val="067810B3"/>
    <w:rsid w:val="075544F0"/>
    <w:rsid w:val="092759ED"/>
    <w:rsid w:val="09D9505B"/>
    <w:rsid w:val="0A024833"/>
    <w:rsid w:val="0A0A2507"/>
    <w:rsid w:val="0B294F33"/>
    <w:rsid w:val="0B2E44E6"/>
    <w:rsid w:val="0D1379A2"/>
    <w:rsid w:val="0D473893"/>
    <w:rsid w:val="0D8E0156"/>
    <w:rsid w:val="0E2E36DB"/>
    <w:rsid w:val="106E1073"/>
    <w:rsid w:val="11BF71A4"/>
    <w:rsid w:val="122419AD"/>
    <w:rsid w:val="12DB5D7F"/>
    <w:rsid w:val="1318355B"/>
    <w:rsid w:val="13394B12"/>
    <w:rsid w:val="14466400"/>
    <w:rsid w:val="155F72F4"/>
    <w:rsid w:val="157A05C1"/>
    <w:rsid w:val="15AD23E1"/>
    <w:rsid w:val="15D63781"/>
    <w:rsid w:val="15F327BD"/>
    <w:rsid w:val="17610C88"/>
    <w:rsid w:val="1810113B"/>
    <w:rsid w:val="1926717D"/>
    <w:rsid w:val="1ABA4CA3"/>
    <w:rsid w:val="1ACC227F"/>
    <w:rsid w:val="1B0B66A5"/>
    <w:rsid w:val="1DF11618"/>
    <w:rsid w:val="1E586E8D"/>
    <w:rsid w:val="1EAF63F4"/>
    <w:rsid w:val="1F191017"/>
    <w:rsid w:val="1FA14978"/>
    <w:rsid w:val="1FC26364"/>
    <w:rsid w:val="202F6A31"/>
    <w:rsid w:val="20915DAB"/>
    <w:rsid w:val="20AD4D67"/>
    <w:rsid w:val="20E33863"/>
    <w:rsid w:val="21337775"/>
    <w:rsid w:val="2183492B"/>
    <w:rsid w:val="219050B2"/>
    <w:rsid w:val="2199615D"/>
    <w:rsid w:val="219B57B1"/>
    <w:rsid w:val="22F977C5"/>
    <w:rsid w:val="23E82E39"/>
    <w:rsid w:val="23F538AC"/>
    <w:rsid w:val="24B87409"/>
    <w:rsid w:val="24EC01CF"/>
    <w:rsid w:val="24FC5973"/>
    <w:rsid w:val="25D12848"/>
    <w:rsid w:val="26F868F7"/>
    <w:rsid w:val="271B1A34"/>
    <w:rsid w:val="27D23839"/>
    <w:rsid w:val="295F1FB2"/>
    <w:rsid w:val="2A232314"/>
    <w:rsid w:val="2A47653B"/>
    <w:rsid w:val="2AED060D"/>
    <w:rsid w:val="2AEE4181"/>
    <w:rsid w:val="2B3E285C"/>
    <w:rsid w:val="2FCB414F"/>
    <w:rsid w:val="30982EE2"/>
    <w:rsid w:val="31004CB5"/>
    <w:rsid w:val="315B2B8E"/>
    <w:rsid w:val="322E6B8A"/>
    <w:rsid w:val="32303C76"/>
    <w:rsid w:val="326A72C2"/>
    <w:rsid w:val="33971486"/>
    <w:rsid w:val="37E04EEF"/>
    <w:rsid w:val="384D43D7"/>
    <w:rsid w:val="385F2688"/>
    <w:rsid w:val="38C4522D"/>
    <w:rsid w:val="39742F06"/>
    <w:rsid w:val="3A580787"/>
    <w:rsid w:val="3B334C69"/>
    <w:rsid w:val="3C2373B8"/>
    <w:rsid w:val="3C8E7B37"/>
    <w:rsid w:val="3EAB1104"/>
    <w:rsid w:val="3F1546FE"/>
    <w:rsid w:val="3FA71616"/>
    <w:rsid w:val="3FFB4191"/>
    <w:rsid w:val="40935066"/>
    <w:rsid w:val="4094182B"/>
    <w:rsid w:val="40A225A2"/>
    <w:rsid w:val="41532903"/>
    <w:rsid w:val="419D3A87"/>
    <w:rsid w:val="425E5C95"/>
    <w:rsid w:val="428A4AD0"/>
    <w:rsid w:val="438328EE"/>
    <w:rsid w:val="43B0219B"/>
    <w:rsid w:val="43C87F0B"/>
    <w:rsid w:val="44A02EC8"/>
    <w:rsid w:val="454D68F2"/>
    <w:rsid w:val="46424EF5"/>
    <w:rsid w:val="46485544"/>
    <w:rsid w:val="473F6D5E"/>
    <w:rsid w:val="47400B1C"/>
    <w:rsid w:val="48D81BD5"/>
    <w:rsid w:val="49273D9E"/>
    <w:rsid w:val="49F41B76"/>
    <w:rsid w:val="4A233164"/>
    <w:rsid w:val="4A2D437A"/>
    <w:rsid w:val="4B14369D"/>
    <w:rsid w:val="4BC44BAF"/>
    <w:rsid w:val="4BCA2C7C"/>
    <w:rsid w:val="4D093A76"/>
    <w:rsid w:val="4ED07E7B"/>
    <w:rsid w:val="4F465236"/>
    <w:rsid w:val="4F964ACE"/>
    <w:rsid w:val="509303F3"/>
    <w:rsid w:val="521F2076"/>
    <w:rsid w:val="52F95DA9"/>
    <w:rsid w:val="532657EC"/>
    <w:rsid w:val="53966742"/>
    <w:rsid w:val="546F4B64"/>
    <w:rsid w:val="54A87528"/>
    <w:rsid w:val="553C19E3"/>
    <w:rsid w:val="55D87795"/>
    <w:rsid w:val="5661349B"/>
    <w:rsid w:val="57D50696"/>
    <w:rsid w:val="585E1E78"/>
    <w:rsid w:val="58823ACE"/>
    <w:rsid w:val="58F522B5"/>
    <w:rsid w:val="59704B02"/>
    <w:rsid w:val="59A718CB"/>
    <w:rsid w:val="59F002E3"/>
    <w:rsid w:val="5A8F2D9A"/>
    <w:rsid w:val="5B137943"/>
    <w:rsid w:val="5C2A0351"/>
    <w:rsid w:val="5CDB68BB"/>
    <w:rsid w:val="5D88443D"/>
    <w:rsid w:val="5DC32815"/>
    <w:rsid w:val="5DC848D8"/>
    <w:rsid w:val="5E9F1A89"/>
    <w:rsid w:val="5F3E6087"/>
    <w:rsid w:val="5F6A7AA6"/>
    <w:rsid w:val="5FA05B9C"/>
    <w:rsid w:val="5FDA40C6"/>
    <w:rsid w:val="5FE71861"/>
    <w:rsid w:val="603C0556"/>
    <w:rsid w:val="604C36D9"/>
    <w:rsid w:val="60AF329C"/>
    <w:rsid w:val="610050AB"/>
    <w:rsid w:val="61467D06"/>
    <w:rsid w:val="62217B54"/>
    <w:rsid w:val="632F779E"/>
    <w:rsid w:val="642A555C"/>
    <w:rsid w:val="656B6E9C"/>
    <w:rsid w:val="66597625"/>
    <w:rsid w:val="66896BCC"/>
    <w:rsid w:val="66E224DF"/>
    <w:rsid w:val="67820158"/>
    <w:rsid w:val="679375A4"/>
    <w:rsid w:val="68A2182C"/>
    <w:rsid w:val="6DB77108"/>
    <w:rsid w:val="6DE3450C"/>
    <w:rsid w:val="6DE855E9"/>
    <w:rsid w:val="6E1F71C4"/>
    <w:rsid w:val="6EB82B27"/>
    <w:rsid w:val="6F024D80"/>
    <w:rsid w:val="700766DE"/>
    <w:rsid w:val="705A14D0"/>
    <w:rsid w:val="70867DB6"/>
    <w:rsid w:val="71C9477C"/>
    <w:rsid w:val="71FF33EA"/>
    <w:rsid w:val="7232439C"/>
    <w:rsid w:val="72D82AFF"/>
    <w:rsid w:val="73703798"/>
    <w:rsid w:val="74A770FD"/>
    <w:rsid w:val="75F275DD"/>
    <w:rsid w:val="7773709B"/>
    <w:rsid w:val="77A817BE"/>
    <w:rsid w:val="77AD760B"/>
    <w:rsid w:val="77D658C4"/>
    <w:rsid w:val="78456772"/>
    <w:rsid w:val="79A76A1D"/>
    <w:rsid w:val="7A4F5781"/>
    <w:rsid w:val="7B4C096B"/>
    <w:rsid w:val="7D4537E0"/>
    <w:rsid w:val="7D5B152D"/>
    <w:rsid w:val="7E467A3B"/>
    <w:rsid w:val="7E4B6706"/>
    <w:rsid w:val="7EE863AA"/>
    <w:rsid w:val="7F633735"/>
    <w:rsid w:val="FDFFC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itle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Balloon Text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1">
    <w:name w:val="Heade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Footer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483</Characters>
  <Lines>5</Lines>
  <Paragraphs>1</Paragraphs>
  <TotalTime>0</TotalTime>
  <ScaleCrop>false</ScaleCrop>
  <LinksUpToDate>false</LinksUpToDate>
  <CharactersWithSpaces>576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2016-05-09T16:15:00Z</dcterms:created>
  <dc:creator>dell</dc:creator>
  <cp:lastModifiedBy>No longer love </cp:lastModifiedBy>
  <cp:lastPrinted>2019-02-13T16:39:00Z</cp:lastPrinted>
  <dcterms:modified xsi:type="dcterms:W3CDTF">2023-12-27T07:06:18Z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A9A68C203BE04C638F2800921D2A44BC_13</vt:lpwstr>
  </property>
</Properties>
</file>