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93A11">
      <w:pPr>
        <w:jc w:val="center"/>
        <w:rPr>
          <w:rFonts w:ascii="黑体" w:hAnsi="黑体" w:eastAsia="黑体"/>
          <w:b/>
          <w:sz w:val="28"/>
        </w:rPr>
      </w:pPr>
      <w:r>
        <w:rPr>
          <w:rFonts w:hint="eastAsia" w:ascii="黑体" w:hAnsi="黑体" w:eastAsia="黑体"/>
          <w:b/>
          <w:sz w:val="28"/>
        </w:rPr>
        <w:t>关于增加“</w:t>
      </w:r>
      <w:r>
        <w:rPr>
          <w:rFonts w:hint="eastAsia" w:ascii="黑体" w:hAnsi="黑体" w:eastAsia="黑体"/>
          <w:b/>
          <w:sz w:val="28"/>
          <w:lang w:val="en-US" w:eastAsia="zh-CN"/>
        </w:rPr>
        <w:t>XX私募证券投资</w:t>
      </w:r>
      <w:r>
        <w:rPr>
          <w:rFonts w:hint="eastAsia" w:ascii="黑体" w:hAnsi="黑体" w:eastAsia="黑体"/>
          <w:b/>
          <w:sz w:val="28"/>
        </w:rPr>
        <w:t>基金”投资比例限制和投资禁止行为并临时开放的公告</w:t>
      </w:r>
    </w:p>
    <w:p w14:paraId="55C57A56">
      <w:pPr>
        <w:rPr>
          <w:rFonts w:ascii="仿宋" w:hAnsi="仿宋" w:eastAsia="仿宋"/>
          <w:sz w:val="28"/>
        </w:rPr>
      </w:pPr>
      <w:r>
        <w:rPr>
          <w:rFonts w:hint="eastAsia" w:ascii="仿宋" w:hAnsi="仿宋" w:eastAsia="仿宋"/>
          <w:sz w:val="28"/>
        </w:rPr>
        <w:t>尊敬的委托人：</w:t>
      </w:r>
    </w:p>
    <w:p w14:paraId="13F31F1E">
      <w:pPr>
        <w:ind w:firstLine="560" w:firstLineChars="200"/>
        <w:rPr>
          <w:rFonts w:ascii="仿宋" w:hAnsi="仿宋" w:eastAsia="仿宋"/>
          <w:b/>
          <w:color w:val="000000" w:themeColor="text1"/>
          <w:sz w:val="28"/>
          <w14:textFill>
            <w14:solidFill>
              <w14:schemeClr w14:val="tx1"/>
            </w14:solidFill>
          </w14:textFill>
        </w:rPr>
      </w:pPr>
      <w:r>
        <w:rPr>
          <w:rFonts w:hint="eastAsia" w:ascii="仿宋" w:hAnsi="仿宋" w:eastAsia="仿宋"/>
          <w:sz w:val="28"/>
        </w:rPr>
        <w:t>“</w:t>
      </w:r>
      <w:r>
        <w:rPr>
          <w:rFonts w:hint="eastAsia" w:ascii="仿宋" w:hAnsi="仿宋" w:eastAsia="仿宋"/>
          <w:sz w:val="28"/>
          <w:lang w:val="en-US" w:eastAsia="zh-CN"/>
        </w:rPr>
        <w:t>XX私募证券投资</w:t>
      </w:r>
      <w:r>
        <w:rPr>
          <w:rFonts w:hint="eastAsia" w:ascii="仿宋" w:hAnsi="仿宋" w:eastAsia="仿宋"/>
          <w:sz w:val="28"/>
        </w:rPr>
        <w:t>基金”（以下简称“本基金”）由我司担当管理人。根据基金业协会《私募证券投资基金运作指引》要求，</w:t>
      </w:r>
      <w:r>
        <w:rPr>
          <w:rFonts w:hint="eastAsia" w:ascii="仿宋" w:hAnsi="仿宋" w:eastAsia="仿宋"/>
          <w:color w:val="000000" w:themeColor="text1"/>
          <w:sz w:val="28"/>
          <w14:textFill>
            <w14:solidFill>
              <w14:schemeClr w14:val="tx1"/>
            </w14:solidFill>
          </w14:textFill>
        </w:rPr>
        <w:t>我公司</w:t>
      </w:r>
      <w:bookmarkStart w:id="0" w:name="_GoBack"/>
      <w:bookmarkEnd w:id="0"/>
      <w:r>
        <w:rPr>
          <w:rFonts w:hint="eastAsia" w:ascii="仿宋" w:hAnsi="仿宋" w:eastAsia="仿宋"/>
          <w:color w:val="000000" w:themeColor="text1"/>
          <w:sz w:val="28"/>
          <w14:textFill>
            <w14:solidFill>
              <w14:schemeClr w14:val="tx1"/>
            </w14:solidFill>
          </w14:textFill>
        </w:rPr>
        <w:t>决定自</w:t>
      </w:r>
      <w:r>
        <w:rPr>
          <w:rFonts w:ascii="仿宋" w:hAnsi="仿宋" w:eastAsia="仿宋"/>
          <w:color w:val="000000" w:themeColor="text1"/>
          <w:sz w:val="28"/>
          <w:u w:val="single"/>
          <w14:textFill>
            <w14:solidFill>
              <w14:schemeClr w14:val="tx1"/>
            </w14:solidFill>
          </w14:textFill>
        </w:rPr>
        <w:t>2024</w:t>
      </w:r>
      <w:r>
        <w:rPr>
          <w:rFonts w:hint="eastAsia" w:ascii="仿宋" w:hAnsi="仿宋" w:eastAsia="仿宋"/>
          <w:color w:val="000000" w:themeColor="text1"/>
          <w:sz w:val="28"/>
          <w:u w:val="single"/>
          <w14:textFill>
            <w14:solidFill>
              <w14:schemeClr w14:val="tx1"/>
            </w14:solidFill>
          </w14:textFill>
        </w:rPr>
        <w:t>年</w:t>
      </w:r>
      <w:r>
        <w:rPr>
          <w:rFonts w:ascii="仿宋" w:hAnsi="仿宋" w:eastAsia="仿宋"/>
          <w:color w:val="000000" w:themeColor="text1"/>
          <w:sz w:val="28"/>
          <w:u w:val="single"/>
          <w14:textFill>
            <w14:solidFill>
              <w14:schemeClr w14:val="tx1"/>
            </w14:solidFill>
          </w14:textFill>
        </w:rPr>
        <w:t>8</w:t>
      </w:r>
      <w:r>
        <w:rPr>
          <w:rFonts w:hint="eastAsia" w:ascii="仿宋" w:hAnsi="仿宋" w:eastAsia="仿宋"/>
          <w:color w:val="000000" w:themeColor="text1"/>
          <w:sz w:val="28"/>
          <w:u w:val="single"/>
          <w14:textFill>
            <w14:solidFill>
              <w14:schemeClr w14:val="tx1"/>
            </w14:solidFill>
          </w14:textFill>
        </w:rPr>
        <w:t>月</w:t>
      </w:r>
      <w:r>
        <w:rPr>
          <w:rFonts w:ascii="仿宋" w:hAnsi="仿宋" w:eastAsia="仿宋"/>
          <w:color w:val="000000" w:themeColor="text1"/>
          <w:sz w:val="28"/>
          <w:u w:val="single"/>
          <w14:textFill>
            <w14:solidFill>
              <w14:schemeClr w14:val="tx1"/>
            </w14:solidFill>
          </w14:textFill>
        </w:rPr>
        <w:t>1</w:t>
      </w:r>
      <w:r>
        <w:rPr>
          <w:rFonts w:hint="eastAsia" w:ascii="仿宋" w:hAnsi="仿宋" w:eastAsia="仿宋"/>
          <w:color w:val="000000" w:themeColor="text1"/>
          <w:sz w:val="28"/>
          <w:u w:val="single"/>
          <w14:textFill>
            <w14:solidFill>
              <w14:schemeClr w14:val="tx1"/>
            </w14:solidFill>
          </w14:textFill>
        </w:rPr>
        <w:t>日</w:t>
      </w:r>
      <w:r>
        <w:rPr>
          <w:rFonts w:hint="eastAsia" w:ascii="仿宋" w:hAnsi="仿宋" w:eastAsia="仿宋"/>
          <w:color w:val="000000" w:themeColor="text1"/>
          <w:sz w:val="28"/>
          <w14:textFill>
            <w14:solidFill>
              <w14:schemeClr w14:val="tx1"/>
            </w14:solidFill>
          </w14:textFill>
        </w:rPr>
        <w:t>起</w:t>
      </w:r>
      <w:r>
        <w:rPr>
          <w:rFonts w:hint="eastAsia" w:ascii="仿宋" w:hAnsi="仿宋" w:eastAsia="仿宋"/>
          <w:b/>
          <w:color w:val="000000" w:themeColor="text1"/>
          <w:sz w:val="28"/>
          <w14:textFill>
            <w14:solidFill>
              <w14:schemeClr w14:val="tx1"/>
            </w14:solidFill>
          </w14:textFill>
        </w:rPr>
        <w:t>：</w:t>
      </w:r>
    </w:p>
    <w:p w14:paraId="70FD8E9F">
      <w:pPr>
        <w:ind w:firstLine="562" w:firstLineChars="200"/>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一、</w:t>
      </w:r>
      <w:r>
        <w:rPr>
          <w:rFonts w:hint="eastAsia" w:ascii="仿宋" w:hAnsi="仿宋" w:eastAsia="仿宋"/>
          <w:color w:val="000000" w:themeColor="text1"/>
          <w:sz w:val="28"/>
          <w14:textFill>
            <w14:solidFill>
              <w14:schemeClr w14:val="tx1"/>
            </w14:solidFill>
          </w14:textFill>
        </w:rPr>
        <w:t>增加原基金合同、补充协议（如有）中约定的投资比例、限制条款</w:t>
      </w:r>
      <w:r>
        <w:rPr>
          <w:rFonts w:hint="eastAsia" w:ascii="仿宋" w:hAnsi="仿宋" w:eastAsia="仿宋"/>
          <w:b/>
          <w:color w:val="000000" w:themeColor="text1"/>
          <w:sz w:val="28"/>
          <w14:textFill>
            <w14:solidFill>
              <w14:schemeClr w14:val="tx1"/>
            </w14:solidFill>
          </w14:textFill>
        </w:rPr>
        <w:t>，增加：</w:t>
      </w:r>
    </w:p>
    <w:p w14:paraId="4A5569F7">
      <w:pPr>
        <w:ind w:firstLine="562" w:firstLineChars="200"/>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“（一）本基金投资场外期权的，向全部交易对手方缴纳的场外期权交易保证金和权利金合计不得超过基金净资产的 25%；</w:t>
      </w:r>
    </w:p>
    <w:p w14:paraId="49CEFA7A">
      <w:pPr>
        <w:ind w:firstLine="562" w:firstLineChars="200"/>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（二）本基金投资收益互换的，参与挂钩股票、股票指数等权益类收益互换的，向交易对手方缴纳的保证金比例不低于合约名义本金的 50%；</w:t>
      </w:r>
    </w:p>
    <w:p w14:paraId="246BFAAE">
      <w:pPr>
        <w:ind w:firstLine="562" w:firstLineChars="200"/>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（三）参与证券公司等机构发行带敲入和敲出结构的场外期权或者收益凭证（如雪球结构衍生品）的合约名义本金不得超过基金净资产的 25%。</w:t>
      </w:r>
      <w:r>
        <w:rPr>
          <w:rFonts w:ascii="仿宋" w:hAnsi="仿宋" w:eastAsia="仿宋"/>
          <w:b/>
          <w:color w:val="000000" w:themeColor="text1"/>
          <w:sz w:val="28"/>
          <w14:textFill>
            <w14:solidFill>
              <w14:schemeClr w14:val="tx1"/>
            </w14:solidFill>
          </w14:textFill>
        </w:rPr>
        <w:t>”</w:t>
      </w:r>
    </w:p>
    <w:p w14:paraId="5D7CAF50">
      <w:pPr>
        <w:ind w:firstLine="562" w:firstLineChars="200"/>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二、</w:t>
      </w:r>
      <w:r>
        <w:rPr>
          <w:rFonts w:hint="eastAsia" w:ascii="仿宋" w:hAnsi="仿宋" w:eastAsia="仿宋"/>
          <w:color w:val="000000" w:themeColor="text1"/>
          <w:sz w:val="28"/>
          <w14:textFill>
            <w14:solidFill>
              <w14:schemeClr w14:val="tx1"/>
            </w14:solidFill>
          </w14:textFill>
        </w:rPr>
        <w:t>增加原基金合同、补充协议（如有）中约定的投资禁止行为条款</w:t>
      </w:r>
      <w:r>
        <w:rPr>
          <w:rFonts w:hint="eastAsia" w:ascii="仿宋" w:hAnsi="仿宋" w:eastAsia="仿宋"/>
          <w:b/>
          <w:color w:val="000000" w:themeColor="text1"/>
          <w:sz w:val="28"/>
          <w14:textFill>
            <w14:solidFill>
              <w14:schemeClr w14:val="tx1"/>
            </w14:solidFill>
          </w14:textFill>
        </w:rPr>
        <w:t>，增加：</w:t>
      </w:r>
    </w:p>
    <w:p w14:paraId="135E828E">
      <w:pPr>
        <w:ind w:firstLine="562" w:firstLineChars="200"/>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“（一）新增场外期权合约以及存续合约展期的，除仅开展商品类场外期权交易外，基金净资产低于 5000 万元；</w:t>
      </w:r>
    </w:p>
    <w:p w14:paraId="2BC34A0B">
      <w:pPr>
        <w:ind w:firstLine="562" w:firstLineChars="200"/>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（二）新增收益互换合约以及存续合约展期的，基金净资产低于 1000 万元。”</w:t>
      </w:r>
    </w:p>
    <w:p w14:paraId="7DFC5445">
      <w:pPr>
        <w:ind w:firstLine="555"/>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同时，为维护委托人利益，并根据基金合同约定，我公司决定于</w:t>
      </w:r>
      <w:r>
        <w:rPr>
          <w:rFonts w:ascii="仿宋" w:hAnsi="仿宋" w:eastAsia="仿宋"/>
          <w:color w:val="000000" w:themeColor="text1"/>
          <w:sz w:val="28"/>
          <w14:textFill>
            <w14:solidFill>
              <w14:schemeClr w14:val="tx1"/>
            </w14:solidFill>
          </w14:textFill>
        </w:rPr>
        <w:t>2024</w:t>
      </w:r>
      <w:r>
        <w:rPr>
          <w:rFonts w:hint="eastAsia" w:ascii="仿宋" w:hAnsi="仿宋" w:eastAsia="仿宋"/>
          <w:color w:val="000000" w:themeColor="text1"/>
          <w:sz w:val="28"/>
          <w14:textFill>
            <w14:solidFill>
              <w14:schemeClr w14:val="tx1"/>
            </w14:solidFill>
          </w14:textFill>
        </w:rPr>
        <w:t>年</w:t>
      </w:r>
      <w:r>
        <w:rPr>
          <w:rFonts w:hint="eastAsia" w:ascii="仿宋" w:hAnsi="仿宋" w:eastAsia="仿宋"/>
          <w:color w:val="000000" w:themeColor="text1"/>
          <w:sz w:val="28"/>
          <w:lang w:val="en-US" w:eastAsia="zh-CN"/>
          <w14:textFill>
            <w14:solidFill>
              <w14:schemeClr w14:val="tx1"/>
            </w14:solidFill>
          </w14:textFill>
        </w:rPr>
        <w:t>XX</w:t>
      </w:r>
      <w:r>
        <w:rPr>
          <w:rFonts w:hint="eastAsia" w:ascii="仿宋" w:hAnsi="仿宋" w:eastAsia="仿宋"/>
          <w:color w:val="000000" w:themeColor="text1"/>
          <w:sz w:val="28"/>
          <w14:textFill>
            <w14:solidFill>
              <w14:schemeClr w14:val="tx1"/>
            </w14:solidFill>
          </w14:textFill>
        </w:rPr>
        <w:t>设置本基金临时开放，接受委托人的赎回申请，本次临时开放不收取赎回费用（如有）且不受份额锁定期（如有）限制。</w:t>
      </w:r>
    </w:p>
    <w:p w14:paraId="5439D7D2">
      <w:pPr>
        <w:ind w:firstLine="555"/>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我司作为管理人将按照基金业协会的要求进行相关变更备案。</w:t>
      </w:r>
    </w:p>
    <w:p w14:paraId="4A197DC3">
      <w:pPr>
        <w:ind w:firstLine="555"/>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特此公告。</w:t>
      </w:r>
    </w:p>
    <w:p w14:paraId="4EFA7FF3">
      <w:pPr>
        <w:rPr>
          <w:rFonts w:ascii="仿宋" w:hAnsi="仿宋" w:eastAsia="仿宋"/>
          <w:sz w:val="28"/>
        </w:rPr>
      </w:pPr>
    </w:p>
    <w:p w14:paraId="7B0B6C82">
      <w:pPr>
        <w:ind w:right="840"/>
        <w:jc w:val="center"/>
        <w:rPr>
          <w:rFonts w:hint="default" w:ascii="仿宋" w:hAnsi="仿宋" w:eastAsia="仿宋"/>
          <w:sz w:val="28"/>
          <w:lang w:val="en-US" w:eastAsia="zh-CN"/>
        </w:rPr>
      </w:pPr>
      <w:r>
        <w:rPr>
          <w:rFonts w:hint="eastAsia" w:ascii="仿宋" w:hAnsi="仿宋" w:eastAsia="仿宋"/>
          <w:sz w:val="28"/>
          <w:lang w:val="en-US" w:eastAsia="zh-CN"/>
        </w:rPr>
        <w:t xml:space="preserve">            </w:t>
      </w:r>
      <w:r>
        <w:rPr>
          <w:rFonts w:hint="eastAsia" w:ascii="仿宋" w:hAnsi="仿宋" w:eastAsia="仿宋"/>
          <w:sz w:val="28"/>
        </w:rPr>
        <w:t>管理人：</w:t>
      </w:r>
      <w:r>
        <w:rPr>
          <w:rFonts w:hint="eastAsia" w:ascii="仿宋" w:hAnsi="仿宋" w:eastAsia="仿宋"/>
          <w:sz w:val="28"/>
          <w:lang w:val="en-US" w:eastAsia="zh-CN"/>
        </w:rPr>
        <w:t>XXX</w:t>
      </w:r>
    </w:p>
    <w:p w14:paraId="004EB243">
      <w:pPr>
        <w:ind w:right="420"/>
        <w:jc w:val="center"/>
        <w:rPr>
          <w:rFonts w:hint="default" w:ascii="仿宋" w:hAnsi="仿宋" w:eastAsia="仿宋"/>
          <w:sz w:val="28"/>
          <w:lang w:val="en-US"/>
        </w:rPr>
      </w:pPr>
      <w:r>
        <w:rPr>
          <w:rFonts w:hint="eastAsia" w:ascii="仿宋" w:hAnsi="仿宋" w:eastAsia="仿宋"/>
          <w:sz w:val="28"/>
          <w:lang w:val="en-US" w:eastAsia="zh-CN"/>
        </w:rPr>
        <w:t xml:space="preserve">             XXXX</w:t>
      </w:r>
    </w:p>
    <w:p w14:paraId="661971B4">
      <w:pPr>
        <w:widowControl/>
        <w:spacing w:line="240" w:lineRule="auto"/>
        <w:jc w:val="left"/>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yOGQ5NDlmMTZkYThiODM1MDZjN2RlZGE3OTM5YjEifQ=="/>
  </w:docVars>
  <w:rsids>
    <w:rsidRoot w:val="00AA7D36"/>
    <w:rsid w:val="00AA7D36"/>
    <w:rsid w:val="00CA4C54"/>
    <w:rsid w:val="053242B0"/>
    <w:rsid w:val="088210AA"/>
    <w:rsid w:val="0BEC11A0"/>
    <w:rsid w:val="0ED1606F"/>
    <w:rsid w:val="12297DAC"/>
    <w:rsid w:val="13AF2F6F"/>
    <w:rsid w:val="16565924"/>
    <w:rsid w:val="192537E7"/>
    <w:rsid w:val="19687E48"/>
    <w:rsid w:val="19BE5CBA"/>
    <w:rsid w:val="1FAD4807"/>
    <w:rsid w:val="1FF110D2"/>
    <w:rsid w:val="2100305C"/>
    <w:rsid w:val="23717F88"/>
    <w:rsid w:val="23DF164F"/>
    <w:rsid w:val="25BD32CA"/>
    <w:rsid w:val="28E55011"/>
    <w:rsid w:val="296C128F"/>
    <w:rsid w:val="29937908"/>
    <w:rsid w:val="2B434271"/>
    <w:rsid w:val="2FFD0E93"/>
    <w:rsid w:val="3B381919"/>
    <w:rsid w:val="40E51BFB"/>
    <w:rsid w:val="47E0311C"/>
    <w:rsid w:val="488A12DA"/>
    <w:rsid w:val="4A493727"/>
    <w:rsid w:val="5338205E"/>
    <w:rsid w:val="54F2623D"/>
    <w:rsid w:val="574A05B2"/>
    <w:rsid w:val="59C67F57"/>
    <w:rsid w:val="5CE40B61"/>
    <w:rsid w:val="60A93A22"/>
    <w:rsid w:val="65A92947"/>
    <w:rsid w:val="684E77D6"/>
    <w:rsid w:val="6954706E"/>
    <w:rsid w:val="6A717754"/>
    <w:rsid w:val="6F745D74"/>
    <w:rsid w:val="745D14CD"/>
    <w:rsid w:val="76C375E1"/>
    <w:rsid w:val="778F6A1F"/>
    <w:rsid w:val="7EB22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4"/>
      <w:szCs w:val="22"/>
      <w:lang w:val="en-US" w:eastAsia="zh-CN" w:bidi="ar-SA"/>
    </w:rPr>
  </w:style>
  <w:style w:type="paragraph" w:styleId="2">
    <w:name w:val="heading 2"/>
    <w:basedOn w:val="1"/>
    <w:next w:val="1"/>
    <w:link w:val="8"/>
    <w:unhideWhenUsed/>
    <w:qFormat/>
    <w:uiPriority w:val="9"/>
    <w:pPr>
      <w:keepNext/>
      <w:keepLines/>
      <w:spacing w:line="415" w:lineRule="auto"/>
      <w:outlineLvl w:val="1"/>
    </w:pPr>
    <w:rPr>
      <w:rFonts w:eastAsia="黑体" w:asciiTheme="majorHAnsi" w:hAnsiTheme="majorHAnsi" w:cstheme="majorBidi"/>
      <w:b/>
      <w:bCs/>
      <w:sz w:val="30"/>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9"/>
    <w:unhideWhenUsed/>
    <w:qFormat/>
    <w:uiPriority w:val="99"/>
    <w:pPr>
      <w:jc w:val="left"/>
    </w:pPr>
  </w:style>
  <w:style w:type="paragraph" w:styleId="4">
    <w:name w:val="Balloon Text"/>
    <w:basedOn w:val="1"/>
    <w:link w:val="10"/>
    <w:semiHidden/>
    <w:unhideWhenUsed/>
    <w:qFormat/>
    <w:uiPriority w:val="99"/>
    <w:pPr>
      <w:spacing w:line="240" w:lineRule="auto"/>
    </w:pPr>
    <w:rPr>
      <w:sz w:val="18"/>
      <w:szCs w:val="18"/>
    </w:rPr>
  </w:style>
  <w:style w:type="character" w:styleId="7">
    <w:name w:val="annotation reference"/>
    <w:basedOn w:val="6"/>
    <w:semiHidden/>
    <w:unhideWhenUsed/>
    <w:qFormat/>
    <w:uiPriority w:val="99"/>
    <w:rPr>
      <w:sz w:val="21"/>
      <w:szCs w:val="21"/>
    </w:rPr>
  </w:style>
  <w:style w:type="character" w:customStyle="1" w:styleId="8">
    <w:name w:val="标题 2 字符"/>
    <w:basedOn w:val="6"/>
    <w:link w:val="2"/>
    <w:qFormat/>
    <w:uiPriority w:val="9"/>
    <w:rPr>
      <w:rFonts w:eastAsia="黑体" w:asciiTheme="majorHAnsi" w:hAnsiTheme="majorHAnsi" w:cstheme="majorBidi"/>
      <w:b/>
      <w:bCs/>
      <w:sz w:val="30"/>
      <w:szCs w:val="32"/>
    </w:rPr>
  </w:style>
  <w:style w:type="character" w:customStyle="1" w:styleId="9">
    <w:name w:val="批注文字 字符"/>
    <w:basedOn w:val="6"/>
    <w:link w:val="3"/>
    <w:qFormat/>
    <w:uiPriority w:val="99"/>
    <w:rPr>
      <w:rFonts w:ascii="Times New Roman" w:hAnsi="Times New Roman" w:eastAsia="宋体"/>
      <w:sz w:val="24"/>
    </w:rPr>
  </w:style>
  <w:style w:type="character" w:customStyle="1" w:styleId="10">
    <w:name w:val="批注框文本 字符"/>
    <w:basedOn w:val="6"/>
    <w:link w:val="4"/>
    <w:semiHidden/>
    <w:qFormat/>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561</Words>
  <Characters>587</Characters>
  <Lines>4</Lines>
  <Paragraphs>1</Paragraphs>
  <TotalTime>64</TotalTime>
  <ScaleCrop>false</ScaleCrop>
  <LinksUpToDate>false</LinksUpToDate>
  <CharactersWithSpaces>619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2024-06-14T11:23:00Z</dcterms:created>
  <dc:creator>Admin_tg</dc:creator>
  <cp:lastModifiedBy>AJMD</cp:lastModifiedBy>
  <dcterms:modified xsi:type="dcterms:W3CDTF">2024-07-23T06:29:15Z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587A465331284532BAC55C269922D14E_13</vt:lpwstr>
  </property>
</Properties>
</file>